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1E0B" w14:textId="6068E54F" w:rsidR="008F5B6C" w:rsidRPr="008F5B6C" w:rsidRDefault="00014B32" w:rsidP="008F5B6C">
      <w:pPr>
        <w:jc w:val="right"/>
        <w:rPr>
          <w:rFonts w:ascii="Arial Black" w:hAnsi="Arial Black" w:cs="Arial"/>
          <w:sz w:val="20"/>
          <w:szCs w:val="20"/>
          <w:u w:val="single"/>
        </w:rPr>
      </w:pPr>
      <w:r>
        <w:rPr>
          <w:rFonts w:ascii="Arial Black" w:hAnsi="Arial Black" w:cs="Arial"/>
          <w:sz w:val="20"/>
          <w:szCs w:val="20"/>
          <w:u w:val="single"/>
        </w:rPr>
        <w:t>2024</w:t>
      </w:r>
      <w:r w:rsidR="008F5B6C">
        <w:rPr>
          <w:rFonts w:ascii="Arial Black" w:hAnsi="Arial Black" w:cs="Arial"/>
          <w:sz w:val="20"/>
          <w:szCs w:val="20"/>
          <w:u w:val="single"/>
        </w:rPr>
        <w:t xml:space="preserve"> Cleveland County Fair</w:t>
      </w:r>
    </w:p>
    <w:p w14:paraId="4F365E7E" w14:textId="4AD862C3" w:rsidR="00F55E14" w:rsidRDefault="00771B66" w:rsidP="00771B6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Livestock, Horse and Youth Show Information</w:t>
      </w:r>
    </w:p>
    <w:p w14:paraId="139AF966" w14:textId="6481CD10" w:rsidR="00771B66" w:rsidRDefault="00771B66" w:rsidP="00771B6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 can Exhibit and Entry Fees</w:t>
      </w:r>
    </w:p>
    <w:p w14:paraId="0B0BA789" w14:textId="77777777" w:rsidR="00431ADB" w:rsidRPr="00431ADB" w:rsidRDefault="00431ADB" w:rsidP="00771B66">
      <w:pPr>
        <w:jc w:val="center"/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420"/>
        <w:gridCol w:w="4634"/>
        <w:gridCol w:w="1931"/>
      </w:tblGrid>
      <w:tr w:rsidR="00ED1149" w14:paraId="1390AA4A" w14:textId="77777777" w:rsidTr="00ED1149">
        <w:tc>
          <w:tcPr>
            <w:tcW w:w="4225" w:type="dxa"/>
            <w:gridSpan w:val="2"/>
            <w:shd w:val="clear" w:color="auto" w:fill="D0CECE" w:themeFill="background2" w:themeFillShade="E6"/>
          </w:tcPr>
          <w:p w14:paraId="3B270261" w14:textId="2C9D99DF" w:rsidR="00ED1149" w:rsidRPr="00771B66" w:rsidRDefault="00ED1149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4634" w:type="dxa"/>
            <w:shd w:val="clear" w:color="auto" w:fill="D0CECE" w:themeFill="background2" w:themeFillShade="E6"/>
          </w:tcPr>
          <w:p w14:paraId="62930C24" w14:textId="1A8542DB" w:rsidR="00ED1149" w:rsidRPr="00771B66" w:rsidRDefault="00ED1149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Who can exhibit</w:t>
            </w:r>
          </w:p>
        </w:tc>
        <w:tc>
          <w:tcPr>
            <w:tcW w:w="1931" w:type="dxa"/>
            <w:shd w:val="clear" w:color="auto" w:fill="D0CECE" w:themeFill="background2" w:themeFillShade="E6"/>
          </w:tcPr>
          <w:p w14:paraId="3E45B72A" w14:textId="256963F0" w:rsidR="00ED1149" w:rsidRPr="00771B66" w:rsidRDefault="00ED1149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Fees</w:t>
            </w:r>
          </w:p>
        </w:tc>
      </w:tr>
      <w:tr w:rsidR="00ED1149" w14:paraId="36E37C4B" w14:textId="77777777" w:rsidTr="00ED1149">
        <w:tc>
          <w:tcPr>
            <w:tcW w:w="805" w:type="dxa"/>
          </w:tcPr>
          <w:p w14:paraId="57641DB0" w14:textId="5FE9543F" w:rsidR="00ED1149" w:rsidRPr="00771B66" w:rsidRDefault="00ED1149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</w:t>
            </w:r>
          </w:p>
        </w:tc>
        <w:tc>
          <w:tcPr>
            <w:tcW w:w="3420" w:type="dxa"/>
          </w:tcPr>
          <w:p w14:paraId="2FE19F2B" w14:textId="43B597A2" w:rsidR="00ED1149" w:rsidRPr="00771B66" w:rsidRDefault="00ED1149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B66">
              <w:rPr>
                <w:rFonts w:ascii="Arial" w:hAnsi="Arial" w:cs="Arial"/>
                <w:b/>
                <w:bCs/>
                <w:sz w:val="24"/>
                <w:szCs w:val="24"/>
              </w:rPr>
              <w:t>Junior Judging Contests</w:t>
            </w:r>
          </w:p>
        </w:tc>
        <w:tc>
          <w:tcPr>
            <w:tcW w:w="4634" w:type="dxa"/>
          </w:tcPr>
          <w:p w14:paraId="7DA3F6A1" w14:textId="62615BF4" w:rsidR="00ED1149" w:rsidRPr="00771B66" w:rsidRDefault="00ED1149" w:rsidP="00771B66">
            <w:pPr>
              <w:rPr>
                <w:rFonts w:ascii="Arial" w:hAnsi="Arial" w:cs="Arial"/>
                <w:sz w:val="24"/>
                <w:szCs w:val="24"/>
              </w:rPr>
            </w:pPr>
            <w:r w:rsidRPr="00771B66">
              <w:rPr>
                <w:rFonts w:ascii="Arial" w:hAnsi="Arial" w:cs="Arial"/>
                <w:sz w:val="24"/>
                <w:szCs w:val="24"/>
              </w:rPr>
              <w:t>Op</w:t>
            </w:r>
            <w:r>
              <w:rPr>
                <w:rFonts w:ascii="Arial" w:hAnsi="Arial" w:cs="Arial"/>
                <w:sz w:val="24"/>
                <w:szCs w:val="24"/>
              </w:rPr>
              <w:t>en to teams or individual youth actively enrolled in public schools, 4-H, or FFA in Cleveland, Burke, Catawba, Gaston, Lincoln, or Rutherford Counties</w:t>
            </w:r>
          </w:p>
        </w:tc>
        <w:tc>
          <w:tcPr>
            <w:tcW w:w="1931" w:type="dxa"/>
          </w:tcPr>
          <w:p w14:paraId="16397FAB" w14:textId="7B2FB428" w:rsidR="00ED1149" w:rsidRPr="00771B66" w:rsidRDefault="00ED1149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$0</w:t>
            </w:r>
          </w:p>
        </w:tc>
      </w:tr>
      <w:tr w:rsidR="00ED1149" w14:paraId="641FA0A6" w14:textId="77777777" w:rsidTr="00ED1149">
        <w:tc>
          <w:tcPr>
            <w:tcW w:w="805" w:type="dxa"/>
            <w:shd w:val="clear" w:color="auto" w:fill="D0CECE" w:themeFill="background2" w:themeFillShade="E6"/>
          </w:tcPr>
          <w:p w14:paraId="536B8EA9" w14:textId="77777777" w:rsidR="00ED1149" w:rsidRDefault="00ED1149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BB</w:t>
            </w:r>
            <w:r w:rsidR="00B9792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7720243A" w14:textId="24C48BA7" w:rsidR="00B9792A" w:rsidRDefault="00B9792A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BB2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5024136D" w14:textId="2D28AC67" w:rsidR="00ED1149" w:rsidRPr="00771B66" w:rsidRDefault="00ED1149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Open Boer Goats</w:t>
            </w:r>
          </w:p>
        </w:tc>
        <w:tc>
          <w:tcPr>
            <w:tcW w:w="4634" w:type="dxa"/>
            <w:shd w:val="clear" w:color="auto" w:fill="D0CECE" w:themeFill="background2" w:themeFillShade="E6"/>
          </w:tcPr>
          <w:p w14:paraId="130A0FB2" w14:textId="0BDDE69F" w:rsidR="00ED1149" w:rsidRPr="00771B66" w:rsidRDefault="00ED1149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to the world.</w:t>
            </w:r>
          </w:p>
        </w:tc>
        <w:tc>
          <w:tcPr>
            <w:tcW w:w="1931" w:type="dxa"/>
            <w:shd w:val="clear" w:color="auto" w:fill="D0CECE" w:themeFill="background2" w:themeFillShade="E6"/>
          </w:tcPr>
          <w:p w14:paraId="44819A60" w14:textId="77777777" w:rsidR="005D0F2F" w:rsidRDefault="00ED1149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$15 early/</w:t>
            </w:r>
          </w:p>
          <w:p w14:paraId="0408E401" w14:textId="37EAC483" w:rsidR="00ED1149" w:rsidRPr="00771B66" w:rsidRDefault="00ED1149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$20 late</w:t>
            </w:r>
          </w:p>
        </w:tc>
      </w:tr>
      <w:tr w:rsidR="00ED1149" w14:paraId="5CEEAB48" w14:textId="77777777" w:rsidTr="00ED1149">
        <w:tc>
          <w:tcPr>
            <w:tcW w:w="805" w:type="dxa"/>
          </w:tcPr>
          <w:p w14:paraId="46D2D9D6" w14:textId="74E8001F" w:rsidR="00ED1149" w:rsidRDefault="00ED1149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BG</w:t>
            </w:r>
          </w:p>
        </w:tc>
        <w:tc>
          <w:tcPr>
            <w:tcW w:w="3420" w:type="dxa"/>
          </w:tcPr>
          <w:p w14:paraId="2C62F98A" w14:textId="7ED80D42" w:rsidR="00ED1149" w:rsidRPr="00771B66" w:rsidRDefault="00ED1149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Youth Meat Goats</w:t>
            </w:r>
          </w:p>
        </w:tc>
        <w:tc>
          <w:tcPr>
            <w:tcW w:w="4634" w:type="dxa"/>
          </w:tcPr>
          <w:p w14:paraId="6C0BF8EC" w14:textId="1D698881" w:rsidR="00ED1149" w:rsidRPr="00771B66" w:rsidRDefault="00ED1149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to the world’s youth ages 5</w:t>
            </w:r>
            <w:r w:rsidR="0032156F">
              <w:rPr>
                <w:rFonts w:ascii="Arial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5D0F2F">
              <w:rPr>
                <w:rFonts w:ascii="Arial" w:hAnsi="Arial" w:cs="Arial"/>
                <w:sz w:val="24"/>
                <w:szCs w:val="24"/>
              </w:rPr>
              <w:t xml:space="preserve"> as of January 1, </w:t>
            </w:r>
            <w:r w:rsidR="00014B3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931" w:type="dxa"/>
          </w:tcPr>
          <w:p w14:paraId="2259751D" w14:textId="24C3523D" w:rsidR="00ED1149" w:rsidRPr="00771B66" w:rsidRDefault="00ED1149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$0</w:t>
            </w:r>
          </w:p>
        </w:tc>
      </w:tr>
      <w:tr w:rsidR="00ED1149" w14:paraId="59858438" w14:textId="77777777" w:rsidTr="00ED1149">
        <w:tc>
          <w:tcPr>
            <w:tcW w:w="805" w:type="dxa"/>
            <w:shd w:val="clear" w:color="auto" w:fill="D0CECE" w:themeFill="background2" w:themeFillShade="E6"/>
          </w:tcPr>
          <w:p w14:paraId="54316D9E" w14:textId="2615ACD6" w:rsidR="00ED1149" w:rsidRDefault="00ED1149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BL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4B2DC984" w14:textId="36291AE3" w:rsidR="00ED1149" w:rsidRPr="00771B66" w:rsidRDefault="00ED1149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Youth Market Lambs</w:t>
            </w:r>
          </w:p>
        </w:tc>
        <w:tc>
          <w:tcPr>
            <w:tcW w:w="4634" w:type="dxa"/>
            <w:shd w:val="clear" w:color="auto" w:fill="D0CECE" w:themeFill="background2" w:themeFillShade="E6"/>
          </w:tcPr>
          <w:p w14:paraId="3698970F" w14:textId="30E5A322" w:rsidR="00ED1149" w:rsidRPr="00771B66" w:rsidRDefault="00ED1149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to NC &amp; SC youth ages 5-21</w:t>
            </w:r>
            <w:r w:rsidR="005D0F2F">
              <w:rPr>
                <w:rFonts w:ascii="Arial" w:hAnsi="Arial" w:cs="Arial"/>
                <w:sz w:val="24"/>
                <w:szCs w:val="24"/>
              </w:rPr>
              <w:t xml:space="preserve"> as of January 1, </w:t>
            </w:r>
            <w:r w:rsidR="00014B3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931" w:type="dxa"/>
            <w:shd w:val="clear" w:color="auto" w:fill="D0CECE" w:themeFill="background2" w:themeFillShade="E6"/>
          </w:tcPr>
          <w:p w14:paraId="16E7E694" w14:textId="29D194C2" w:rsidR="00ED1149" w:rsidRPr="00771B66" w:rsidRDefault="00ED1149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$0</w:t>
            </w:r>
          </w:p>
        </w:tc>
      </w:tr>
      <w:tr w:rsidR="00ED1149" w14:paraId="7CB48193" w14:textId="77777777" w:rsidTr="00ED1149">
        <w:tc>
          <w:tcPr>
            <w:tcW w:w="805" w:type="dxa"/>
          </w:tcPr>
          <w:p w14:paraId="4E19FC6D" w14:textId="33821DE8" w:rsidR="00ED1149" w:rsidRDefault="00ED1149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BS</w:t>
            </w:r>
          </w:p>
        </w:tc>
        <w:tc>
          <w:tcPr>
            <w:tcW w:w="3420" w:type="dxa"/>
          </w:tcPr>
          <w:p w14:paraId="722E4AFB" w14:textId="737C31A6" w:rsidR="00ED1149" w:rsidRPr="00771B66" w:rsidRDefault="00ED1149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Open Dairy Goats</w:t>
            </w:r>
          </w:p>
        </w:tc>
        <w:tc>
          <w:tcPr>
            <w:tcW w:w="4634" w:type="dxa"/>
          </w:tcPr>
          <w:p w14:paraId="74FF7BF0" w14:textId="5047D796" w:rsidR="00ED1149" w:rsidRPr="00771B66" w:rsidRDefault="00ED1149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to the world</w:t>
            </w:r>
          </w:p>
        </w:tc>
        <w:tc>
          <w:tcPr>
            <w:tcW w:w="1931" w:type="dxa"/>
          </w:tcPr>
          <w:p w14:paraId="5BF344F7" w14:textId="77777777" w:rsidR="005D0F2F" w:rsidRDefault="00ED1149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$15 early/</w:t>
            </w:r>
          </w:p>
          <w:p w14:paraId="084290AA" w14:textId="3B0C24F9" w:rsidR="00ED1149" w:rsidRPr="00771B66" w:rsidRDefault="00ED1149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$20 late</w:t>
            </w:r>
          </w:p>
        </w:tc>
      </w:tr>
      <w:tr w:rsidR="00ED1149" w14:paraId="74027C15" w14:textId="77777777" w:rsidTr="00ED1149">
        <w:tc>
          <w:tcPr>
            <w:tcW w:w="805" w:type="dxa"/>
            <w:shd w:val="clear" w:color="auto" w:fill="D0CECE" w:themeFill="background2" w:themeFillShade="E6"/>
          </w:tcPr>
          <w:p w14:paraId="51D38A73" w14:textId="35655F1A" w:rsidR="00ED1149" w:rsidRDefault="00ED1149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BSJ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33DBF0F8" w14:textId="3888B85A" w:rsidR="00ED1149" w:rsidRPr="00771B66" w:rsidRDefault="00ED1149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Youth Dairy Goats</w:t>
            </w:r>
          </w:p>
        </w:tc>
        <w:tc>
          <w:tcPr>
            <w:tcW w:w="4634" w:type="dxa"/>
            <w:shd w:val="clear" w:color="auto" w:fill="D0CECE" w:themeFill="background2" w:themeFillShade="E6"/>
          </w:tcPr>
          <w:p w14:paraId="17B82AA5" w14:textId="20B101F2" w:rsidR="00ED1149" w:rsidRPr="00771B66" w:rsidRDefault="00ED1149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to the world’s youth ages 5-21</w:t>
            </w:r>
            <w:r w:rsidR="005D0F2F">
              <w:rPr>
                <w:rFonts w:ascii="Arial" w:hAnsi="Arial" w:cs="Arial"/>
                <w:sz w:val="24"/>
                <w:szCs w:val="24"/>
              </w:rPr>
              <w:t xml:space="preserve"> as of January 1, </w:t>
            </w:r>
            <w:r w:rsidR="00014B3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931" w:type="dxa"/>
            <w:shd w:val="clear" w:color="auto" w:fill="D0CECE" w:themeFill="background2" w:themeFillShade="E6"/>
          </w:tcPr>
          <w:p w14:paraId="0F48B989" w14:textId="09D5E92E" w:rsidR="00ED1149" w:rsidRPr="00771B66" w:rsidRDefault="00ED1149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$0</w:t>
            </w:r>
          </w:p>
        </w:tc>
      </w:tr>
      <w:tr w:rsidR="00ED1149" w:rsidRPr="00ED1149" w14:paraId="7820376E" w14:textId="77777777" w:rsidTr="00ED1149">
        <w:tc>
          <w:tcPr>
            <w:tcW w:w="805" w:type="dxa"/>
          </w:tcPr>
          <w:p w14:paraId="4FF84540" w14:textId="29C817BF" w:rsidR="00ED1149" w:rsidRPr="00ED1149" w:rsidRDefault="00ED1149" w:rsidP="00ED1149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C</w:t>
            </w:r>
          </w:p>
        </w:tc>
        <w:tc>
          <w:tcPr>
            <w:tcW w:w="3420" w:type="dxa"/>
          </w:tcPr>
          <w:p w14:paraId="1E5F1E21" w14:textId="4879730D" w:rsidR="00ED1149" w:rsidRPr="00ED1149" w:rsidRDefault="00ED1149" w:rsidP="00ED1149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ED1149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Horses</w:t>
            </w:r>
            <w:proofErr w:type="spellEnd"/>
            <w:r w:rsidRPr="00ED1149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D1149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Ponies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D1149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Donkeys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ED1149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&amp; Mule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s</w:t>
            </w:r>
          </w:p>
        </w:tc>
        <w:tc>
          <w:tcPr>
            <w:tcW w:w="4634" w:type="dxa"/>
          </w:tcPr>
          <w:p w14:paraId="42138C10" w14:textId="4A21BEA3" w:rsidR="00ED1149" w:rsidRPr="00ED1149" w:rsidRDefault="00ED1149" w:rsidP="00771B66">
            <w:pPr>
              <w:rPr>
                <w:rFonts w:ascii="Arial" w:hAnsi="Arial" w:cs="Arial"/>
                <w:sz w:val="24"/>
                <w:szCs w:val="24"/>
              </w:rPr>
            </w:pPr>
            <w:r w:rsidRPr="00ED1149">
              <w:rPr>
                <w:rFonts w:ascii="Arial" w:hAnsi="Arial" w:cs="Arial"/>
                <w:sz w:val="24"/>
                <w:szCs w:val="24"/>
              </w:rPr>
              <w:t xml:space="preserve">Open to exhibitors </w:t>
            </w:r>
            <w:r w:rsidR="006A6ADD">
              <w:rPr>
                <w:rFonts w:ascii="Arial" w:hAnsi="Arial" w:cs="Arial"/>
                <w:sz w:val="24"/>
                <w:szCs w:val="24"/>
              </w:rPr>
              <w:t>8</w:t>
            </w:r>
            <w:r w:rsidR="005D0F2F">
              <w:rPr>
                <w:rFonts w:ascii="Arial" w:hAnsi="Arial" w:cs="Arial"/>
                <w:sz w:val="24"/>
                <w:szCs w:val="24"/>
              </w:rPr>
              <w:t xml:space="preserve"> &amp; older </w:t>
            </w:r>
            <w:r w:rsidR="0061592B">
              <w:rPr>
                <w:rFonts w:ascii="Arial" w:hAnsi="Arial" w:cs="Arial"/>
                <w:sz w:val="24"/>
                <w:szCs w:val="24"/>
              </w:rPr>
              <w:t xml:space="preserve">day of show </w:t>
            </w:r>
            <w:r w:rsidRPr="00ED1149">
              <w:rPr>
                <w:rFonts w:ascii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hAnsi="Arial" w:cs="Arial"/>
                <w:sz w:val="24"/>
                <w:szCs w:val="24"/>
              </w:rPr>
              <w:t>North Carolina and South Carolina</w:t>
            </w:r>
          </w:p>
        </w:tc>
        <w:tc>
          <w:tcPr>
            <w:tcW w:w="1931" w:type="dxa"/>
          </w:tcPr>
          <w:p w14:paraId="18F6320C" w14:textId="0829A26B" w:rsidR="005D0F2F" w:rsidRDefault="00ED1149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656355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early/</w:t>
            </w:r>
          </w:p>
          <w:p w14:paraId="02F124DF" w14:textId="3C9CDBEB" w:rsidR="00ED1149" w:rsidRPr="00ED1149" w:rsidRDefault="00ED1149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</w:t>
            </w:r>
            <w:r w:rsidR="0065635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late</w:t>
            </w:r>
          </w:p>
        </w:tc>
      </w:tr>
      <w:tr w:rsidR="00ED1149" w:rsidRPr="00ED1149" w14:paraId="4F3CBE93" w14:textId="77777777" w:rsidTr="005D0F2F">
        <w:tc>
          <w:tcPr>
            <w:tcW w:w="805" w:type="dxa"/>
            <w:shd w:val="clear" w:color="auto" w:fill="D0CECE" w:themeFill="background2" w:themeFillShade="E6"/>
          </w:tcPr>
          <w:p w14:paraId="55193255" w14:textId="0D1BDDF3" w:rsidR="00ED1149" w:rsidRDefault="00ED1149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06FB6E8D" w14:textId="641938A1" w:rsidR="00ED1149" w:rsidRPr="00ED1149" w:rsidRDefault="00ED1149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Open Dairy Cattle</w:t>
            </w:r>
          </w:p>
        </w:tc>
        <w:tc>
          <w:tcPr>
            <w:tcW w:w="4634" w:type="dxa"/>
            <w:shd w:val="clear" w:color="auto" w:fill="D0CECE" w:themeFill="background2" w:themeFillShade="E6"/>
          </w:tcPr>
          <w:p w14:paraId="76CCDDE1" w14:textId="555CF621" w:rsidR="00ED1149" w:rsidRPr="00ED1149" w:rsidRDefault="005D0F2F" w:rsidP="00771B66">
            <w:pPr>
              <w:rPr>
                <w:rFonts w:ascii="Arial" w:hAnsi="Arial" w:cs="Arial"/>
                <w:sz w:val="24"/>
                <w:szCs w:val="24"/>
              </w:rPr>
            </w:pPr>
            <w:r w:rsidRPr="00ED1149">
              <w:rPr>
                <w:rFonts w:ascii="Arial" w:hAnsi="Arial" w:cs="Arial"/>
                <w:sz w:val="24"/>
                <w:szCs w:val="24"/>
              </w:rPr>
              <w:t xml:space="preserve">Open to </w:t>
            </w:r>
            <w:r w:rsidR="006A6ADD">
              <w:rPr>
                <w:rFonts w:ascii="Arial" w:hAnsi="Arial" w:cs="Arial"/>
                <w:sz w:val="24"/>
                <w:szCs w:val="24"/>
              </w:rPr>
              <w:t>the world</w:t>
            </w:r>
          </w:p>
        </w:tc>
        <w:tc>
          <w:tcPr>
            <w:tcW w:w="1931" w:type="dxa"/>
            <w:shd w:val="clear" w:color="auto" w:fill="D0CECE" w:themeFill="background2" w:themeFillShade="E6"/>
          </w:tcPr>
          <w:p w14:paraId="00E4AB7E" w14:textId="2165A2F5" w:rsidR="005D0F2F" w:rsidRDefault="005D0F2F" w:rsidP="005D0F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656355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early/</w:t>
            </w:r>
          </w:p>
          <w:p w14:paraId="2C68E598" w14:textId="75B8805D" w:rsidR="00ED1149" w:rsidRPr="00ED1149" w:rsidRDefault="005D0F2F" w:rsidP="005D0F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</w:t>
            </w:r>
            <w:r w:rsidR="0065635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late</w:t>
            </w:r>
          </w:p>
        </w:tc>
      </w:tr>
      <w:tr w:rsidR="00ED1149" w:rsidRPr="00ED1149" w14:paraId="3F851A01" w14:textId="77777777" w:rsidTr="00ED1149">
        <w:tc>
          <w:tcPr>
            <w:tcW w:w="805" w:type="dxa"/>
          </w:tcPr>
          <w:p w14:paraId="7792A537" w14:textId="3C21BBA8" w:rsidR="00ED1149" w:rsidRPr="00ED1149" w:rsidRDefault="005D0F2F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DJ</w:t>
            </w:r>
          </w:p>
        </w:tc>
        <w:tc>
          <w:tcPr>
            <w:tcW w:w="3420" w:type="dxa"/>
          </w:tcPr>
          <w:p w14:paraId="6867FCBE" w14:textId="30D70F47" w:rsidR="00ED1149" w:rsidRPr="00ED1149" w:rsidRDefault="005D0F2F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Junior Dairy Cattle</w:t>
            </w:r>
          </w:p>
        </w:tc>
        <w:tc>
          <w:tcPr>
            <w:tcW w:w="4634" w:type="dxa"/>
          </w:tcPr>
          <w:p w14:paraId="78580213" w14:textId="5C8AA0DB" w:rsidR="00ED1149" w:rsidRPr="00ED1149" w:rsidRDefault="005D0F2F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to </w:t>
            </w:r>
            <w:r w:rsidR="006A6ADD">
              <w:rPr>
                <w:rFonts w:ascii="Arial" w:hAnsi="Arial" w:cs="Arial"/>
                <w:sz w:val="24"/>
                <w:szCs w:val="24"/>
              </w:rPr>
              <w:t xml:space="preserve">the world’s </w:t>
            </w:r>
            <w:r>
              <w:rPr>
                <w:rFonts w:ascii="Arial" w:hAnsi="Arial" w:cs="Arial"/>
                <w:sz w:val="24"/>
                <w:szCs w:val="24"/>
              </w:rPr>
              <w:t>youth ages 5</w:t>
            </w:r>
            <w:r w:rsidR="0032156F">
              <w:rPr>
                <w:rFonts w:ascii="Arial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sz w:val="24"/>
                <w:szCs w:val="24"/>
              </w:rPr>
              <w:t xml:space="preserve">21 as of January 1, </w:t>
            </w:r>
            <w:r w:rsidR="00014B3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931" w:type="dxa"/>
          </w:tcPr>
          <w:p w14:paraId="6354992C" w14:textId="6F148EE4" w:rsidR="00ED1149" w:rsidRPr="00ED1149" w:rsidRDefault="005D0F2F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$0</w:t>
            </w:r>
          </w:p>
        </w:tc>
      </w:tr>
      <w:tr w:rsidR="00ED1149" w:rsidRPr="00ED1149" w14:paraId="2E68044B" w14:textId="77777777" w:rsidTr="005D0F2F">
        <w:tc>
          <w:tcPr>
            <w:tcW w:w="805" w:type="dxa"/>
            <w:shd w:val="clear" w:color="auto" w:fill="D0CECE" w:themeFill="background2" w:themeFillShade="E6"/>
          </w:tcPr>
          <w:p w14:paraId="58DA3C7E" w14:textId="4F8F589E" w:rsidR="00ED1149" w:rsidRPr="00ED1149" w:rsidRDefault="005D0F2F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DS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70437D37" w14:textId="65AECFEC" w:rsidR="00ED1149" w:rsidRPr="00ED1149" w:rsidRDefault="005D0F2F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Cleveland County </w:t>
            </w:r>
            <w:r w:rsidR="00B979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4-H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Dairy Steer Show</w:t>
            </w:r>
          </w:p>
        </w:tc>
        <w:tc>
          <w:tcPr>
            <w:tcW w:w="4634" w:type="dxa"/>
            <w:shd w:val="clear" w:color="auto" w:fill="D0CECE" w:themeFill="background2" w:themeFillShade="E6"/>
          </w:tcPr>
          <w:p w14:paraId="6827938D" w14:textId="70CE2481" w:rsidR="00ED1149" w:rsidRPr="00ED1149" w:rsidRDefault="005D0F2F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to youth participating in the Cleveland County 4-H Dairy Steer Project</w:t>
            </w:r>
          </w:p>
        </w:tc>
        <w:tc>
          <w:tcPr>
            <w:tcW w:w="1931" w:type="dxa"/>
            <w:shd w:val="clear" w:color="auto" w:fill="D0CECE" w:themeFill="background2" w:themeFillShade="E6"/>
          </w:tcPr>
          <w:p w14:paraId="515469B4" w14:textId="5F3F7557" w:rsidR="00ED1149" w:rsidRPr="00ED1149" w:rsidRDefault="005D0F2F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$0</w:t>
            </w:r>
          </w:p>
        </w:tc>
      </w:tr>
      <w:tr w:rsidR="00ED1149" w:rsidRPr="00ED1149" w14:paraId="301D2646" w14:textId="77777777" w:rsidTr="00ED1149">
        <w:tc>
          <w:tcPr>
            <w:tcW w:w="805" w:type="dxa"/>
          </w:tcPr>
          <w:p w14:paraId="55149589" w14:textId="208571DC" w:rsidR="00ED1149" w:rsidRPr="00ED1149" w:rsidRDefault="005D0F2F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420" w:type="dxa"/>
          </w:tcPr>
          <w:p w14:paraId="67798C48" w14:textId="625EB7DD" w:rsidR="00ED1149" w:rsidRPr="00ED1149" w:rsidRDefault="005D0F2F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Open Beef Cattle</w:t>
            </w:r>
          </w:p>
        </w:tc>
        <w:tc>
          <w:tcPr>
            <w:tcW w:w="4634" w:type="dxa"/>
          </w:tcPr>
          <w:p w14:paraId="3D079A98" w14:textId="05A812C6" w:rsidR="00ED1149" w:rsidRPr="00ED1149" w:rsidRDefault="005D0F2F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to exhibitors 5 &amp; older in North Carolina and South Carolina</w:t>
            </w:r>
          </w:p>
        </w:tc>
        <w:tc>
          <w:tcPr>
            <w:tcW w:w="1931" w:type="dxa"/>
          </w:tcPr>
          <w:p w14:paraId="712D0A05" w14:textId="0E502929" w:rsidR="005D0F2F" w:rsidRDefault="005D0F2F" w:rsidP="005D0F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656355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early/</w:t>
            </w:r>
          </w:p>
          <w:p w14:paraId="67C29D65" w14:textId="3E3322F4" w:rsidR="00ED1149" w:rsidRPr="00ED1149" w:rsidRDefault="005D0F2F" w:rsidP="005D0F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</w:t>
            </w:r>
            <w:r w:rsidR="0065635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late</w:t>
            </w:r>
          </w:p>
        </w:tc>
      </w:tr>
      <w:tr w:rsidR="00ED1149" w:rsidRPr="00ED1149" w14:paraId="1ACF2EFC" w14:textId="77777777" w:rsidTr="0032156F">
        <w:tc>
          <w:tcPr>
            <w:tcW w:w="805" w:type="dxa"/>
            <w:shd w:val="clear" w:color="auto" w:fill="D0CECE" w:themeFill="background2" w:themeFillShade="E6"/>
          </w:tcPr>
          <w:p w14:paraId="1880620F" w14:textId="6E637095" w:rsidR="00ED1149" w:rsidRPr="00ED1149" w:rsidRDefault="005D0F2F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EJ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69522B8F" w14:textId="37B87AA4" w:rsidR="00ED1149" w:rsidRPr="00ED1149" w:rsidRDefault="005D0F2F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Junior Beef Cattle</w:t>
            </w:r>
          </w:p>
        </w:tc>
        <w:tc>
          <w:tcPr>
            <w:tcW w:w="4634" w:type="dxa"/>
            <w:shd w:val="clear" w:color="auto" w:fill="D0CECE" w:themeFill="background2" w:themeFillShade="E6"/>
          </w:tcPr>
          <w:p w14:paraId="105E0EE1" w14:textId="24040E9B" w:rsidR="00ED1149" w:rsidRPr="00ED1149" w:rsidRDefault="005D0F2F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to North Carolina and South Carolina youth ages 5 to 21 as of January 1, </w:t>
            </w:r>
            <w:r w:rsidR="00014B3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931" w:type="dxa"/>
            <w:shd w:val="clear" w:color="auto" w:fill="D0CECE" w:themeFill="background2" w:themeFillShade="E6"/>
          </w:tcPr>
          <w:p w14:paraId="036D7FDF" w14:textId="26EAC896" w:rsidR="00ED1149" w:rsidRPr="0032156F" w:rsidRDefault="0032156F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$0</w:t>
            </w:r>
          </w:p>
        </w:tc>
      </w:tr>
      <w:tr w:rsidR="00424511" w:rsidRPr="00ED1149" w14:paraId="27D2449C" w14:textId="77777777" w:rsidTr="00ED1149">
        <w:tc>
          <w:tcPr>
            <w:tcW w:w="805" w:type="dxa"/>
          </w:tcPr>
          <w:p w14:paraId="49E51AF4" w14:textId="70354FB1" w:rsidR="00424511" w:rsidRPr="00ED1149" w:rsidRDefault="000B5DAF" w:rsidP="004245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424511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3420" w:type="dxa"/>
          </w:tcPr>
          <w:p w14:paraId="194A2A07" w14:textId="5F785596" w:rsidR="00424511" w:rsidRPr="00ED1149" w:rsidRDefault="00424511" w:rsidP="004245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Youth Poultry Showmanship</w:t>
            </w:r>
          </w:p>
        </w:tc>
        <w:tc>
          <w:tcPr>
            <w:tcW w:w="4634" w:type="dxa"/>
          </w:tcPr>
          <w:p w14:paraId="4D3B1606" w14:textId="6F5A2CAC" w:rsidR="00424511" w:rsidRPr="0032156F" w:rsidRDefault="00424511" w:rsidP="0042451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1149">
              <w:rPr>
                <w:rFonts w:ascii="Arial" w:hAnsi="Arial" w:cs="Arial"/>
                <w:sz w:val="24"/>
                <w:szCs w:val="24"/>
              </w:rPr>
              <w:t xml:space="preserve">Open to exhibitors </w:t>
            </w:r>
            <w:r w:rsidR="0018609A">
              <w:rPr>
                <w:rFonts w:ascii="Arial" w:hAnsi="Arial" w:cs="Arial"/>
                <w:sz w:val="24"/>
                <w:szCs w:val="24"/>
              </w:rPr>
              <w:t xml:space="preserve">ages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B5DAF">
              <w:rPr>
                <w:rFonts w:ascii="Arial" w:hAnsi="Arial" w:cs="Arial"/>
                <w:sz w:val="24"/>
                <w:szCs w:val="24"/>
              </w:rPr>
              <w:t>-18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1149">
              <w:rPr>
                <w:rFonts w:ascii="Arial" w:hAnsi="Arial" w:cs="Arial"/>
                <w:sz w:val="24"/>
                <w:szCs w:val="24"/>
              </w:rPr>
              <w:t>in C</w:t>
            </w:r>
            <w:r>
              <w:rPr>
                <w:rFonts w:ascii="Arial" w:hAnsi="Arial" w:cs="Arial"/>
                <w:sz w:val="24"/>
                <w:szCs w:val="24"/>
              </w:rPr>
              <w:t>leveland, Burke, Catawba, Gaston, Lincoln and Rutherford Counties in North Carolina and Cherokee and York counties in South Carolina</w:t>
            </w:r>
          </w:p>
        </w:tc>
        <w:tc>
          <w:tcPr>
            <w:tcW w:w="1931" w:type="dxa"/>
          </w:tcPr>
          <w:p w14:paraId="6EC8C8F5" w14:textId="0A540311" w:rsidR="00424511" w:rsidRPr="00424511" w:rsidRDefault="00424511" w:rsidP="00424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$0</w:t>
            </w:r>
          </w:p>
        </w:tc>
      </w:tr>
      <w:tr w:rsidR="00ED1149" w:rsidRPr="00ED1149" w14:paraId="0F77B3FA" w14:textId="77777777" w:rsidTr="0032156F">
        <w:tc>
          <w:tcPr>
            <w:tcW w:w="805" w:type="dxa"/>
            <w:shd w:val="clear" w:color="auto" w:fill="D0CECE" w:themeFill="background2" w:themeFillShade="E6"/>
          </w:tcPr>
          <w:p w14:paraId="5EABE5D5" w14:textId="00CC749A" w:rsidR="00ED1149" w:rsidRPr="00ED1149" w:rsidRDefault="0032156F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B9792A">
              <w:rPr>
                <w:rFonts w:ascii="Arial" w:hAnsi="Arial" w:cs="Arial"/>
                <w:b/>
                <w:bCs/>
                <w:sz w:val="24"/>
                <w:szCs w:val="24"/>
              </w:rPr>
              <w:t>J R1 R2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489ED3D6" w14:textId="51B2F9FD" w:rsidR="00ED1149" w:rsidRPr="00ED1149" w:rsidRDefault="0032156F" w:rsidP="00771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Rabbits</w:t>
            </w:r>
          </w:p>
        </w:tc>
        <w:tc>
          <w:tcPr>
            <w:tcW w:w="4634" w:type="dxa"/>
            <w:shd w:val="clear" w:color="auto" w:fill="D0CECE" w:themeFill="background2" w:themeFillShade="E6"/>
          </w:tcPr>
          <w:p w14:paraId="1031974E" w14:textId="3D7076BC" w:rsidR="00ED1149" w:rsidRPr="00B9792A" w:rsidRDefault="00B9792A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Youth show open to youth ages 5-17. Open show open to the world.</w:t>
            </w:r>
          </w:p>
        </w:tc>
        <w:tc>
          <w:tcPr>
            <w:tcW w:w="1931" w:type="dxa"/>
            <w:shd w:val="clear" w:color="auto" w:fill="D0CECE" w:themeFill="background2" w:themeFillShade="E6"/>
          </w:tcPr>
          <w:p w14:paraId="598647A7" w14:textId="725FFC0F" w:rsidR="00ED1149" w:rsidRPr="00B9792A" w:rsidRDefault="00B9792A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$6</w:t>
            </w:r>
          </w:p>
        </w:tc>
      </w:tr>
      <w:tr w:rsidR="0032156F" w:rsidRPr="00ED1149" w14:paraId="354D7245" w14:textId="77777777" w:rsidTr="00FB25F7">
        <w:tc>
          <w:tcPr>
            <w:tcW w:w="10790" w:type="dxa"/>
            <w:gridSpan w:val="4"/>
          </w:tcPr>
          <w:p w14:paraId="1F4BA7BE" w14:textId="77777777" w:rsidR="0032156F" w:rsidRDefault="0032156F" w:rsidP="00771B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E80D9" w14:textId="0897E379" w:rsidR="0032156F" w:rsidRDefault="00431ADB" w:rsidP="0077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Note: </w:t>
            </w:r>
            <w:r w:rsidR="0032156F">
              <w:rPr>
                <w:rFonts w:ascii="Arial" w:hAnsi="Arial" w:cs="Arial"/>
                <w:sz w:val="24"/>
                <w:szCs w:val="24"/>
              </w:rPr>
              <w:t xml:space="preserve">Premium checks will not be released until the Cleveland County Fair has had an opportunity to verify competition results. Checks will be released and mailed to exhibitors within </w:t>
            </w:r>
            <w:r w:rsidR="00C73295">
              <w:rPr>
                <w:rFonts w:ascii="Arial" w:hAnsi="Arial" w:cs="Arial"/>
                <w:sz w:val="24"/>
                <w:szCs w:val="24"/>
              </w:rPr>
              <w:t>60</w:t>
            </w:r>
            <w:r w:rsidR="0032156F">
              <w:rPr>
                <w:rFonts w:ascii="Arial" w:hAnsi="Arial" w:cs="Arial"/>
                <w:sz w:val="24"/>
                <w:szCs w:val="24"/>
              </w:rPr>
              <w:t xml:space="preserve"> days of the end of the Fair.</w:t>
            </w:r>
          </w:p>
          <w:p w14:paraId="0A568C35" w14:textId="3CBFA5E2" w:rsidR="0032156F" w:rsidRPr="00ED1149" w:rsidRDefault="0032156F" w:rsidP="00771B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F3CC09" w14:textId="77777777" w:rsidR="00771B66" w:rsidRPr="00ED1149" w:rsidRDefault="00771B66" w:rsidP="00771B66">
      <w:pPr>
        <w:rPr>
          <w:rFonts w:ascii="Arial" w:hAnsi="Arial" w:cs="Arial"/>
          <w:sz w:val="28"/>
          <w:szCs w:val="28"/>
        </w:rPr>
      </w:pPr>
    </w:p>
    <w:sectPr w:rsidR="00771B66" w:rsidRPr="00ED1149" w:rsidSect="00771B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66"/>
    <w:rsid w:val="00014B32"/>
    <w:rsid w:val="000B5DAF"/>
    <w:rsid w:val="0018609A"/>
    <w:rsid w:val="0032156F"/>
    <w:rsid w:val="00405258"/>
    <w:rsid w:val="0042280F"/>
    <w:rsid w:val="00424511"/>
    <w:rsid w:val="00431ADB"/>
    <w:rsid w:val="005D0F2F"/>
    <w:rsid w:val="0061592B"/>
    <w:rsid w:val="00656355"/>
    <w:rsid w:val="006A6ADD"/>
    <w:rsid w:val="00771B66"/>
    <w:rsid w:val="008F5B6C"/>
    <w:rsid w:val="009E3A28"/>
    <w:rsid w:val="00B9792A"/>
    <w:rsid w:val="00C73295"/>
    <w:rsid w:val="00DE08E3"/>
    <w:rsid w:val="00ED1149"/>
    <w:rsid w:val="00F5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C6F7"/>
  <w15:chartTrackingRefBased/>
  <w15:docId w15:val="{75E901EB-AF66-445E-B570-D6C8C727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gregorybtraywick@gmail.com</dc:creator>
  <cp:keywords/>
  <dc:description/>
  <cp:lastModifiedBy>Peeler, Greyson</cp:lastModifiedBy>
  <cp:revision>15</cp:revision>
  <cp:lastPrinted>2023-07-25T19:09:00Z</cp:lastPrinted>
  <dcterms:created xsi:type="dcterms:W3CDTF">2023-07-14T23:57:00Z</dcterms:created>
  <dcterms:modified xsi:type="dcterms:W3CDTF">2024-05-14T22:15:00Z</dcterms:modified>
</cp:coreProperties>
</file>